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294</w:t>
      </w:r>
    </w:p>
    <w:p>
      <w:r>
        <w:t>Bundesgericht (BGE), 2015-06-25, FR</w:t>
      </w:r>
    </w:p>
    <w:p>
      <w:r>
        <w:rPr>
          <w:b/>
        </w:rPr>
        <w:t xml:space="preserve">Quelle: </w:t>
      </w:r>
      <w:r>
        <w:t>https://mcp.opencaselaw.ch/entscheid/bge_141 III 294</w:t>
      </w:r>
    </w:p>
    <w:p>
      <w:r>
        <w:t>FR: ATF 141 III 294</w:t>
      </w:r>
    </w:p>
    <w:p>
      <w:r>
        <w:t>IT: DTF 141 III 294</w:t>
      </w:r>
    </w:p>
    <w:p>
      <w:pPr>
        <w:pStyle w:val="Heading2"/>
      </w:pPr>
      <w:r>
        <w:t>Regeste</w:t>
      </w:r>
    </w:p>
    <w:p>
      <w:r>
        <w:t>Regeste Art. 60 und 59 Abs. 2 lit. b ZPO; Zivilprozess; Prüfung der örtlichen Zuständigkeit von Amtes wegen durch den Richter mit Blick auf die Theorie der doppelrelevanten Tatsachen. Das Recht am Ort des angerufenen Gerichts (lex fori) bestimmt, ob der Richter verpflichtet ist, die für den Entscheid über die Zuständigkeit wesentlichen Tatsachen von Amtes wegen selbst zu erforschen, oder ob er von den Parteien verlangen kann oder muss, ihm die notwendigen Beweise zu liefern (E. 4). Rechtsprechungsgrundsätze, die bei der Anwendung der Theorie der doppelrelevanten Tatsachen massgebend sind (E. 5.1 und 5.2). Ausnahmen von der Theorie der doppelrelevanten Tatsachen (E. 5.3). Anforderungen, die der Kläger beim Vorbringen seiner Behauptungen und Ausführungen zur Begründung der Klage bezüglich der doppelrelevanten Tatsachen erfüllen muss, damit das angerufene Gericht sich für örtlich zuständig erklären kann (E. 6).</w:t>
      </w:r>
    </w:p>
    <w:p>
      <w:pPr>
        <w:pStyle w:val="Heading2"/>
      </w:pPr>
      <w:r>
        <w:t>Erwägungen</w:t>
      </w:r>
    </w:p>
    <w:p>
      <w:r>
        <w:rPr>
          <w:b/>
        </w:rPr>
        <w:t>E. 4</w:t>
      </w:r>
    </w:p>
    <w:p>
      <w:r>
        <w:t>La cause est de nature internationale, puisque les défendeurs sont domiciliés en Suède ( art. 1 al. 1 LDIP [RS 291] et art. 2 CPC ).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(arrêt 4A_443/2014 du 2 février 2015 consid. 3.1; à propos de l'aLFors, cf. ATF 131 III 76 consid. 2.3; en matière d'arbitrage international, cf. l' art. 176 al. 1 LDIP ). Il n'est plus contesté que la Convention de Lugano révisée du 30 octobre 2007, entrée en vigueur pour la Suisse le 1 er janvier 2011 et pour la Suède le 1 er janvier 2010, est applicable en l'espèce. Et seul le for contractuel demeure litigieux. C'est la loi du for (lex fori) qui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 ATF 139 III 278 consid. 4.2 et les références).</w:t>
      </w:r>
    </w:p>
    <w:p>
      <w:r>
        <w:rPr>
          <w:b/>
        </w:rPr>
        <w:t>E. 5</w:t>
      </w:r>
    </w:p>
    <w:p>
      <w:r>
        <w:t>Avant d'examiner quelles sont les exigences d'allégation qui pèsent sur le demandeur, il s'impose de rappeler les principes jurisprudentiels développés sous le nom de "théorie de la double pertinence".</w:t>
      </w:r>
    </w:p>
    <w:p>
      <w:r>
        <w:rPr>
          <w:b/>
        </w:rPr>
        <w:t>E. 5.1</w:t>
      </w:r>
    </w:p>
    <w:p>
      <w:r>
        <w:t>Les faits déterminants pour l'examen de la compétence sont soit des faits "simples", soit des faits "doublement pertinents" (arrêt 4A_28/2014 du 10 décembre 2014 consid. 4.2).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(arrêts 4A_28/2014 déjà cité, consid. 4.2.1; 4A_113/2014 du 15 juillet 2014 consid. 2.3, non publié in ATF 140 III 418 ; BGE 141 III 294 S. 298 ATF 137 III 32 consid. 2.3 p. 34 s.; ATF 134 III 27 consid. 6.2.1 p. 34 s.; ATF 133 III 295 consid. 6.2 p. 298 s.; ATF 122 III 249 consid. 3b/bb p. 252). Les faits sont doublement pertinents ou de double pertinence ( doppelrelevante Tatsachen ) lorsque les faits déterminants pour la compétence du tribunal sont également ceux qui sont déterminants pour le bien-fondé de l'action. C'est à ces faits que s'applique la théorie de la double pertinence.</w:t>
      </w:r>
    </w:p>
    <w:p>
      <w:r>
        <w:rPr>
          <w:b/>
        </w:rPr>
        <w:t>E. 5.2</w:t>
      </w:r>
    </w:p>
    <w:p>
      <w:r>
        <w:t>Selon cette théorie, le juge saisi examine sa compétence sur la base des allégués, moyens et conclusions de la demande (der eingeklagte Anspruch und dessen Begründung), sans tenir compte des objections de la partie défenderesse ( ATF 136 III 486 consid. 4 p. 487; arrêt 4A_630/2011 du 7 mars 2012 consid. 2.2, non publié in ATF 138 III 166 ).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(arrêts 4A_28/2014 déjà cité, consid. 4.2.2; 4A_113/2014 déjà cité, consid. 2.3; ATF 137 III 32 consid. 2.3 p. 34; ATF 133 III 295 consid. 6.2 p. 298 s.; ATF 122 III 249 consid. 3b/bb p. 252). Autrement dit, au stade de l'examen et de la décision sur la compétence, phase qui a lieu d'entrée de cause (cf. art. 60 CPC ), les faits doublement pertinents n'ont pas à être prouvés; ils sont censés établis sur la base des allégués, moyens et conclusions du demandeur. Ainsi, le tribunal doit décider, en fonction des écritures du demandeur, si, par exemple, un acte illicite a été commis. - Si tel n'est pas le cas, les conditions permettant de fonder la compétence du tribunal saisi ne sont pas remplies et la demande doit être déclarée irrecevable. - Si tel est le cas, le tribunal saisi admet sa compétence. L'administration des moyens de preuve sur les faits doublement pertinents, soit sur l'acte illicite, aura lieu ultérieurement dans la phase du procès au fond, soit au cours des débats principaux. - S'il se révèle alors que le fait doublement pertinent n'est pas prouvé, par exemple qu'il n'y a pas eu d'acte illicite, le tribunal rejette la demande, par un jugement revêtu de l'autorité de la chose jugée. BGE 141 III 294 S. 299 - S'il se révèle que le fait doublement pertinent est prouvé, par exemple que l'acte illicite a eu lieu, le tribunal examine alors les autres conditions de la prétention au fond. En revanche, la localisation de l'acte illicite allégué, soit la question de savoir s'il a eu lieu en Suisse, est un fait simple, qui doit être prouvé au stade de l'examen de la compétence (cf. consid. 5.1. ci-dessus). En effet, la constatation portant sur le lieu où l'acte illicite a été commis est sans pertinence pour le bien-fondé de la prétention au fond (arrêt 4C.329/2005 du 5 mai 2006 consid. 2.2, non publié in ATF 132 III 579 ). Dans l'arrêt 4A_28/2014 du 10 décembre 2014, le Tribunal fédéral n'a pas entendu modifier ces principes qui sous-tendent la jurisprudence publiée, un changement de jurisprudence étant d'ailleurs soumis à des exigences strictes dont la réalisation n'y a pas été discutée (cf. ATF 136 III 6 consid. 3; ATF 140 II 334 consid. 6; arrêts 4A_546/2013 du 13 mars 2014 consid. 3; 5A_39/2014 du 12 mai 2014 consid. 3.2, non publié in ATF 140 III 167 ). Il y a lieu de corriger l'erreur (cf. ATF 134 III 354 consid. 1.4 et 1.5) qui s'est glissée dans cet arrêt lorsqu'il y est dit que le "renvoi de l'administration des preuves au fond ne signifie évidemment pas qu'un rejet pour défaut de compétence ne puisse plus être prononcé" et "que le juge statuera sur la compétence..." (cf. ANDREAS BUCHER, Vers l'implosion de la théorie des faits doublement pertinents, SJ 2015 II p. 67 ss).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lorsque, par exemple, l'existence d'un acte illicite n'est pas établie, il doit rejeter la demande par un jugement au fond, lequel est revêtu de l'autorité de la chose jugée. Comme le relève BUCHER (op. cit., p. 72), "le défaut de la théorie... consiste en effet à autoriser le juge à constater sa compétence sans en vérifier toutes les conditions, et à renvoyer l'examen des faits doublement pertinents à la procédure au fond, sans tenir compte de l'incidence des mêmes faits sur l'application des règles de compétence". Cette théorie est néanmoins justifiée dans son résultat, dès lors que le demandeur qui choisit d'introduire son action à un for spécial n'a pas un intérêt à pouvoir, en cas d'échec, la porter ensuite au for ordinaire ou à un autre for BGE 141 III 294 S. 300 spécial (cf. en particulier ALEXANDER R. MARKUS, Internationales Zivilprozessrecht, 2014, ch. 597 p. 157). L'application de la théorie de la double pertinence n'est pas régie par la Convention de Lugano, mais par la loi du for ( ATF 134 III 27 consid. 6.2 et la référence). L'arrêt de la Cour de justice de l'Union européenne du 28 janvier 2015 dans l'affaire C-375/13 Harald Kolassa contre Barclays Bank plc (cité par BUCHER, op. cit., p. 76) ne dit pas autre chose. Selon cet arrêt (point 65), "il n'y a pas lieu de procéder à une administration détaillée de la preuve en ce qui concerne les éléments de fait litigieux qui sont pertinents à la fois pour la question de la compétence et pour l'existence du droit invoqué; il est toutefois loisible à la juridiction saisie d'examiner sa compétence internationale à la lumière de toutes les informations dont elle dispose, y compris, le cas échéant, les contestations émises par le défendeur". En d'autres termes, le juge national peut se baser sur les seuls allégués du demandeur, mais la Cour de justice n'interdit pas non plus au juge national de prendre en compte toutes les circonstances. En l'état, il n'y a pas lieu d'examiner plus avant les critiques de BUCHER à cet égard (op. cit., p. 75 et 76).</w:t>
      </w:r>
    </w:p>
    <w:p>
      <w:r>
        <w:rPr>
          <w:b/>
        </w:rPr>
        <w:t>E. 5.3</w:t>
      </w:r>
    </w:p>
    <w:p>
      <w:r>
        <w:t>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ATF 137 III 32 consid. 2.3; ATF 136 III 486 consid. 4 p. 488 et les références; arrêts 4A_28/2014 déjà cité, consid. 4.2.2; 4A_31/2011 du 11 mars 2011 consid. 2; 4A_630/2011 déjà cité, consid. 2.2). 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Etat (arrêt 4A_28/2014 consid. 4.2.2; ATF 131 III 153 consid. 5.1 p. 158; ATF 124 III 382 consid. 3b p. 387).</w:t>
      </w:r>
    </w:p>
    <w:p>
      <w:r>
        <w:rPr>
          <w:b/>
        </w:rPr>
        <w:t>E. 6</w:t>
      </w:r>
    </w:p>
    <w:p>
      <w:r>
        <w:t>Il y a lieu d'examiner désormais quelles sont les exigences auxquelles le demandeur doit satisfaire dans la présentation de ses allégués et de ses moyens sur les faits doublement pertinents afin que, BGE 141 III 294 S. 301 dans sa décision rendue d'entrée de cause sur la compétence, le tribunal puisse admettre qu'il est compétent ratione loci.</w:t>
      </w:r>
    </w:p>
    <w:p>
      <w:r>
        <w:rPr>
          <w:b/>
        </w:rPr>
        <w:t>E. 6.1</w:t>
      </w:r>
    </w:p>
    <w:p>
      <w:r>
        <w:t>En vertu de l' art. 60 CPC , le tribunal examine d'office si les conditions de recevabilité - dont fait partie la compétence à raison du lieu ( art. 59 al. 2 let. b CPC ) - sont remplies. 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(cf. ATF 139 III 278 consid. 4.3 p. 281 s.). Lorsque le demandeur choisit d'introduire son action à un for spécial, dont les conditions sont des faits doublement pertinents, le tribunal doit examiner d'office sa compétence d'entrée de cause, mais il le fait sur la base des seuls allégués et moyens du demandeur, sans tenir compte des contestations du défendeur et sans procéder à aucune administration de preuves. Il s'ensuit qu'il faut et qu'il suffit que le demandeur allègue correctement les faits doublement pertinents, c'est-à-dire de telle façon que leur contenu permette au tribunal d'apprécier sa compétence. Le tribunal doit en effet examiner si ces faits allégués (censés établis) sont concluants (schlüssig), c'est-à-dire s'ils permettent juridiquement d'en déduire le for invoqué par le demandeur ( ATF 137 III 32 consid. 2.2; MARKUS, op. cit., ch. 598 p. 157; URS H. HOFFMANN-NOWOTNY, Doppelrelevante Tatsachen in Zivilprozess und Schiedsverfahren, 2010, ch.100 ss).</w:t>
      </w:r>
    </w:p>
    <w:p>
      <w:r>
        <w:rPr>
          <w:b/>
        </w:rPr>
        <w:t>E. 6.2</w:t>
      </w:r>
    </w:p>
    <w:p>
      <w:r>
        <w:t>Comme le relèvent les défendeurs recourants, il est vrai que le demandeur s'est contenté d'alléguer l'existence d'une reconnaissance de dette et de la produire, sans préciser la cause de sa créance. Il n'a pas formellement allégué ni dans la partie "en fait" de sa demande, ni dans la partie "en fait" de sa détermination du 16 novembre 2012, ni dans des allégués aux débats principaux du 23 mai 2013, les faits relatifs à la cause de l'obligation et au lieu d'exécution de l'obligation. Toutefois, dès lors que ces éléments ressortent de la partie "en droit" de sa détermination du 16 novembre 2012, c'est-à-dire de ses moyens au sens de la jurisprudence (cf. consid. 5.2 in initio ci-dessus), le tribunal pouvait en tenir compte en vertu de son devoir d'examen d'office. En conséquence, dès lors que la débitrice défunte était domiciliée à P. - ce qui n'est pas contesté - et qu'il ressort des allégués et des BGE 141 III 294 S. 302 moyens du demandeur que les soins ont été prodigués à celle-ci à son domicile, la Chambre patrimoniale pouvait considérer que ces derniers faits étaient censés établis et, partant, admettre sa compétence. Il en découle que les griefs des recourants de violation de la maxime des débats ( art. 55 al. 1 CPC ), de violation de l'obligation incombant au demandeur de motiver ses allégués et de violation de la maxime éventuelle sont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